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68"/>
        <w:ind w:right="1"/>
        <w:jc w:val="center"/>
      </w:pPr>
      <w:r>
        <w:rPr/>
        <w:t>OKLAHOMA</w:t>
      </w:r>
      <w:r>
        <w:rPr>
          <w:spacing w:val="-9"/>
        </w:rPr>
        <w:t> </w:t>
      </w:r>
      <w:r>
        <w:rPr/>
        <w:t>AMENDATORY</w:t>
      </w:r>
      <w:r>
        <w:rPr>
          <w:spacing w:val="-9"/>
        </w:rPr>
        <w:t> </w:t>
      </w:r>
      <w:r>
        <w:rPr>
          <w:spacing w:val="-2"/>
        </w:rPr>
        <w:t>ENDORSEMENT</w:t>
      </w:r>
    </w:p>
    <w:p>
      <w:pPr>
        <w:pStyle w:val="BodyText"/>
        <w:spacing w:before="167"/>
      </w:pPr>
    </w:p>
    <w:p>
      <w:pPr>
        <w:pStyle w:val="BodyText"/>
        <w:tabs>
          <w:tab w:pos="2347" w:val="left" w:leader="none"/>
          <w:tab w:pos="4232" w:val="left" w:leader="none"/>
        </w:tabs>
        <w:spacing w:line="417" w:lineRule="auto" w:before="1"/>
        <w:ind w:left="359" w:right="4786"/>
      </w:pPr>
      <w:r>
        <w:rPr/>
        <w:t>This endorsement, effective</w:t>
        <w:tab/>
        <w:t>forms</w:t>
      </w:r>
      <w:r>
        <w:rPr>
          <w:spacing w:val="-13"/>
        </w:rPr>
        <w:t> </w:t>
      </w:r>
      <w:r>
        <w:rPr/>
        <w:t>a</w:t>
      </w:r>
      <w:r>
        <w:rPr>
          <w:spacing w:val="-13"/>
        </w:rPr>
        <w:t> </w:t>
      </w:r>
      <w:r>
        <w:rPr/>
        <w:t>part</w:t>
      </w:r>
      <w:r>
        <w:rPr>
          <w:spacing w:val="-13"/>
        </w:rPr>
        <w:t> </w:t>
      </w:r>
      <w:r>
        <w:rPr/>
        <w:t>of policy no.:</w:t>
        <w:tab/>
        <w:t>issued to</w:t>
      </w:r>
    </w:p>
    <w:p>
      <w:pPr>
        <w:pStyle w:val="BodyText"/>
        <w:spacing w:line="276" w:lineRule="exact"/>
        <w:ind w:left="359"/>
      </w:pPr>
      <w:r>
        <w:rPr>
          <w:spacing w:val="-5"/>
        </w:rPr>
        <w:t>by:</w:t>
      </w:r>
    </w:p>
    <w:p>
      <w:pPr>
        <w:pStyle w:val="BodyText"/>
        <w:spacing w:before="237"/>
        <w:ind w:left="359"/>
      </w:pPr>
      <w:r>
        <w:rPr/>
        <w:t>This</w:t>
      </w:r>
      <w:r>
        <w:rPr>
          <w:spacing w:val="-1"/>
        </w:rPr>
        <w:t> </w:t>
      </w:r>
      <w:r>
        <w:rPr/>
        <w:t>endorsement</w:t>
      </w:r>
      <w:r>
        <w:rPr>
          <w:spacing w:val="-1"/>
        </w:rPr>
        <w:t> </w:t>
      </w:r>
      <w:r>
        <w:rPr/>
        <w:t>modifies insurance</w:t>
      </w:r>
      <w:r>
        <w:rPr>
          <w:spacing w:val="-1"/>
        </w:rPr>
        <w:t> </w:t>
      </w:r>
      <w:r>
        <w:rPr/>
        <w:t>provided under</w:t>
      </w:r>
      <w:r>
        <w:rPr>
          <w:spacing w:val="-1"/>
        </w:rPr>
        <w:t> </w:t>
      </w:r>
      <w:r>
        <w:rPr/>
        <w:t>the </w:t>
      </w:r>
      <w:r>
        <w:rPr>
          <w:spacing w:val="-2"/>
        </w:rPr>
        <w:t>following:</w:t>
      </w:r>
    </w:p>
    <w:p>
      <w:pPr>
        <w:pStyle w:val="BodyText"/>
        <w:spacing w:before="7"/>
      </w:pPr>
    </w:p>
    <w:p>
      <w:pPr>
        <w:pStyle w:val="BodyText"/>
        <w:spacing w:before="1"/>
        <w:ind w:left="359"/>
      </w:pPr>
      <w:r>
        <w:rPr/>
        <w:t>[INSERT</w:t>
      </w:r>
      <w:r>
        <w:rPr>
          <w:spacing w:val="-7"/>
        </w:rPr>
        <w:t> </w:t>
      </w:r>
      <w:r>
        <w:rPr/>
        <w:t>POLICY</w:t>
      </w:r>
      <w:r>
        <w:rPr>
          <w:spacing w:val="-6"/>
        </w:rPr>
        <w:t> </w:t>
      </w:r>
      <w:r>
        <w:rPr>
          <w:spacing w:val="-2"/>
        </w:rPr>
        <w:t>TITLE]</w:t>
      </w:r>
    </w:p>
    <w:p>
      <w:pPr>
        <w:pStyle w:val="BodyText"/>
        <w:spacing w:line="208" w:lineRule="auto" w:before="239"/>
        <w:ind w:left="360" w:right="357"/>
        <w:jc w:val="both"/>
      </w:pPr>
      <w:r>
        <w:rPr/>
        <w:t>Wherever used in this endorsement: 1) "we", "us", "our", and "Insurer" mean the insurance company which issued this policy;</w:t>
      </w:r>
      <w:r>
        <w:rPr>
          <w:spacing w:val="40"/>
        </w:rPr>
        <w:t> </w:t>
      </w:r>
      <w:r>
        <w:rPr/>
        <w:t>and 2) "you", "your", "named Insured", "First Named Insured", and "Insured" mean the Named Corporation, Named Organization, Named Sponsor, Named Insured, or Insured stated in the declarations page; and 3) "Other Insured(s)" means all other persons or entities afforded coverage under the policy.</w:t>
      </w:r>
    </w:p>
    <w:p>
      <w:pPr>
        <w:pStyle w:val="BodyText"/>
        <w:spacing w:line="208" w:lineRule="auto" w:before="239"/>
        <w:ind w:left="360" w:right="358"/>
        <w:jc w:val="both"/>
      </w:pPr>
      <w:r>
        <w:rPr/>
        <w:t>It is hereby agreed and understood that the cancellation provision of this policy is amended to read</w:t>
      </w:r>
      <w:r>
        <w:rPr>
          <w:spacing w:val="40"/>
        </w:rPr>
        <w:t> </w:t>
      </w:r>
      <w:r>
        <w:rPr/>
        <w:t>as follows:</w:t>
      </w:r>
    </w:p>
    <w:p>
      <w:pPr>
        <w:pStyle w:val="BodyText"/>
        <w:spacing w:line="208" w:lineRule="auto" w:before="240"/>
        <w:ind w:left="359" w:right="357"/>
        <w:jc w:val="both"/>
      </w:pPr>
      <w:r>
        <w:rPr/>
        <w:t>After coverage has been in effect for more than forty-five (45) business days or after the effective date of renewal of a commercial marine, automobile, property, casualty or fire insurance policy, a notice of cancellation will not be issued by the Insurer unless it is based on one or more of the following reasons with at least ten (10) days notice to the insured:</w:t>
      </w:r>
    </w:p>
    <w:p>
      <w:pPr>
        <w:pStyle w:val="ListParagraph"/>
        <w:numPr>
          <w:ilvl w:val="0"/>
          <w:numId w:val="1"/>
        </w:numPr>
        <w:tabs>
          <w:tab w:pos="1800" w:val="left" w:leader="none"/>
        </w:tabs>
        <w:spacing w:line="240" w:lineRule="auto" w:before="210" w:after="0"/>
        <w:ind w:left="1800" w:right="0" w:hanging="721"/>
        <w:jc w:val="left"/>
        <w:rPr>
          <w:sz w:val="24"/>
        </w:rPr>
      </w:pPr>
      <w:r>
        <w:rPr>
          <w:sz w:val="24"/>
        </w:rPr>
        <w:t>Non-payment</w:t>
      </w:r>
      <w:r>
        <w:rPr>
          <w:spacing w:val="-1"/>
          <w:sz w:val="24"/>
        </w:rPr>
        <w:t> </w:t>
      </w:r>
      <w:r>
        <w:rPr>
          <w:sz w:val="24"/>
        </w:rPr>
        <w:t>of</w:t>
      </w:r>
      <w:r>
        <w:rPr>
          <w:spacing w:val="-1"/>
          <w:sz w:val="24"/>
        </w:rPr>
        <w:t> </w:t>
      </w:r>
      <w:r>
        <w:rPr>
          <w:spacing w:val="-2"/>
          <w:sz w:val="24"/>
        </w:rPr>
        <w:t>premium;</w:t>
      </w:r>
    </w:p>
    <w:p>
      <w:pPr>
        <w:pStyle w:val="ListParagraph"/>
        <w:numPr>
          <w:ilvl w:val="0"/>
          <w:numId w:val="1"/>
        </w:numPr>
        <w:tabs>
          <w:tab w:pos="1799" w:val="left" w:leader="none"/>
        </w:tabs>
        <w:spacing w:line="208" w:lineRule="auto" w:before="234" w:after="0"/>
        <w:ind w:left="1799" w:right="1077" w:hanging="720"/>
        <w:jc w:val="both"/>
        <w:rPr>
          <w:sz w:val="24"/>
        </w:rPr>
      </w:pPr>
      <w:r>
        <w:rPr>
          <w:sz w:val="24"/>
        </w:rPr>
        <w:t>Discovery of fraud or material misrepresentation in the procurement of the insurance or with respect to any claims submitted thereunder;</w:t>
      </w:r>
    </w:p>
    <w:p>
      <w:pPr>
        <w:pStyle w:val="ListParagraph"/>
        <w:numPr>
          <w:ilvl w:val="0"/>
          <w:numId w:val="1"/>
        </w:numPr>
        <w:tabs>
          <w:tab w:pos="1799" w:val="left" w:leader="none"/>
        </w:tabs>
        <w:spacing w:line="208" w:lineRule="auto" w:before="239" w:after="0"/>
        <w:ind w:left="1799" w:right="1078" w:hanging="720"/>
        <w:jc w:val="both"/>
        <w:rPr>
          <w:sz w:val="24"/>
        </w:rPr>
      </w:pPr>
      <w:r>
        <w:rPr>
          <w:sz w:val="24"/>
        </w:rPr>
        <w:t>Discovery of willful or reckless acts or omissions on the part of the Insured or Other Insured(s) which increases any hazard insured against;</w:t>
      </w:r>
    </w:p>
    <w:p>
      <w:pPr>
        <w:pStyle w:val="ListParagraph"/>
        <w:numPr>
          <w:ilvl w:val="0"/>
          <w:numId w:val="1"/>
        </w:numPr>
        <w:tabs>
          <w:tab w:pos="1799" w:val="left" w:leader="none"/>
        </w:tabs>
        <w:spacing w:line="208" w:lineRule="auto" w:before="240" w:after="0"/>
        <w:ind w:left="1799" w:right="1078" w:hanging="720"/>
        <w:jc w:val="both"/>
        <w:rPr>
          <w:sz w:val="24"/>
        </w:rPr>
      </w:pPr>
      <w:r>
        <w:rPr>
          <w:sz w:val="24"/>
        </w:rPr>
        <w:t>The occurrence of a change in the risk which substantially increases any hazard insured against after insurance coverage has been issued or renewed;</w:t>
      </w:r>
    </w:p>
    <w:p>
      <w:pPr>
        <w:pStyle w:val="ListParagraph"/>
        <w:numPr>
          <w:ilvl w:val="0"/>
          <w:numId w:val="1"/>
        </w:numPr>
        <w:tabs>
          <w:tab w:pos="1800" w:val="left" w:leader="none"/>
        </w:tabs>
        <w:spacing w:line="208" w:lineRule="auto" w:before="240" w:after="0"/>
        <w:ind w:left="1800" w:right="1077" w:hanging="720"/>
        <w:jc w:val="both"/>
        <w:rPr>
          <w:sz w:val="24"/>
        </w:rPr>
      </w:pPr>
      <w:r>
        <w:rPr>
          <w:sz w:val="24"/>
        </w:rPr>
        <w:t>A</w:t>
      </w:r>
      <w:r>
        <w:rPr>
          <w:spacing w:val="-1"/>
          <w:sz w:val="24"/>
        </w:rPr>
        <w:t> </w:t>
      </w:r>
      <w:r>
        <w:rPr>
          <w:sz w:val="24"/>
        </w:rPr>
        <w:t>violation</w:t>
      </w:r>
      <w:r>
        <w:rPr>
          <w:spacing w:val="-1"/>
          <w:sz w:val="24"/>
        </w:rPr>
        <w:t> </w:t>
      </w:r>
      <w:r>
        <w:rPr>
          <w:sz w:val="24"/>
        </w:rPr>
        <w:t>of</w:t>
      </w:r>
      <w:r>
        <w:rPr>
          <w:spacing w:val="-1"/>
          <w:sz w:val="24"/>
        </w:rPr>
        <w:t> </w:t>
      </w:r>
      <w:r>
        <w:rPr>
          <w:sz w:val="24"/>
        </w:rPr>
        <w:t>any</w:t>
      </w:r>
      <w:r>
        <w:rPr>
          <w:spacing w:val="-1"/>
          <w:sz w:val="24"/>
        </w:rPr>
        <w:t> </w:t>
      </w:r>
      <w:r>
        <w:rPr>
          <w:sz w:val="24"/>
        </w:rPr>
        <w:t>local</w:t>
      </w:r>
      <w:r>
        <w:rPr>
          <w:spacing w:val="-1"/>
          <w:sz w:val="24"/>
        </w:rPr>
        <w:t> </w:t>
      </w:r>
      <w:r>
        <w:rPr>
          <w:sz w:val="24"/>
        </w:rPr>
        <w:t>fire,</w:t>
      </w:r>
      <w:r>
        <w:rPr>
          <w:spacing w:val="-1"/>
          <w:sz w:val="24"/>
        </w:rPr>
        <w:t> </w:t>
      </w:r>
      <w:r>
        <w:rPr>
          <w:sz w:val="24"/>
        </w:rPr>
        <w:t>health,</w:t>
      </w:r>
      <w:r>
        <w:rPr>
          <w:spacing w:val="-2"/>
          <w:sz w:val="24"/>
        </w:rPr>
        <w:t> </w:t>
      </w:r>
      <w:r>
        <w:rPr>
          <w:sz w:val="24"/>
        </w:rPr>
        <w:t>safety,</w:t>
      </w:r>
      <w:r>
        <w:rPr>
          <w:spacing w:val="-1"/>
          <w:sz w:val="24"/>
        </w:rPr>
        <w:t> </w:t>
      </w:r>
      <w:r>
        <w:rPr>
          <w:sz w:val="24"/>
        </w:rPr>
        <w:t>building</w:t>
      </w:r>
      <w:r>
        <w:rPr>
          <w:spacing w:val="-1"/>
          <w:sz w:val="24"/>
        </w:rPr>
        <w:t> </w:t>
      </w:r>
      <w:r>
        <w:rPr>
          <w:sz w:val="24"/>
        </w:rPr>
        <w:t>or</w:t>
      </w:r>
      <w:r>
        <w:rPr>
          <w:spacing w:val="-1"/>
          <w:sz w:val="24"/>
        </w:rPr>
        <w:t> </w:t>
      </w:r>
      <w:r>
        <w:rPr>
          <w:sz w:val="24"/>
        </w:rPr>
        <w:t>construction</w:t>
      </w:r>
      <w:r>
        <w:rPr>
          <w:spacing w:val="-1"/>
          <w:sz w:val="24"/>
        </w:rPr>
        <w:t> </w:t>
      </w:r>
      <w:r>
        <w:rPr>
          <w:sz w:val="24"/>
        </w:rPr>
        <w:t>regulation or ordinance with respect to any insured property or the occupancy thereof which substantially increases any hazard insured against;</w:t>
      </w:r>
    </w:p>
    <w:p>
      <w:pPr>
        <w:pStyle w:val="ListParagraph"/>
        <w:numPr>
          <w:ilvl w:val="0"/>
          <w:numId w:val="1"/>
        </w:numPr>
        <w:tabs>
          <w:tab w:pos="1799" w:val="left" w:leader="none"/>
        </w:tabs>
        <w:spacing w:line="208" w:lineRule="auto" w:before="240" w:after="0"/>
        <w:ind w:left="1799" w:right="1078" w:hanging="720"/>
        <w:jc w:val="both"/>
        <w:rPr>
          <w:sz w:val="24"/>
        </w:rPr>
      </w:pPr>
      <w:r>
        <w:rPr>
          <w:sz w:val="24"/>
        </w:rPr>
        <w:t>A determination by the Commissioner that the continuation of the policy would place the Insurer in violation of the insurance laws of this state;</w:t>
      </w:r>
    </w:p>
    <w:p>
      <w:pPr>
        <w:pStyle w:val="ListParagraph"/>
        <w:numPr>
          <w:ilvl w:val="0"/>
          <w:numId w:val="1"/>
        </w:numPr>
        <w:tabs>
          <w:tab w:pos="1800" w:val="left" w:leader="none"/>
        </w:tabs>
        <w:spacing w:line="208" w:lineRule="auto" w:before="240" w:after="0"/>
        <w:ind w:left="1800" w:right="1077" w:hanging="720"/>
        <w:jc w:val="both"/>
        <w:rPr>
          <w:sz w:val="24"/>
        </w:rPr>
      </w:pPr>
      <w:r>
        <w:rPr>
          <w:sz w:val="24"/>
        </w:rPr>
        <w:t>Conviction of the Insured or Other Insured(s) of a crime having as one of its necessary elements an act increasing any hazard insured against; or</w:t>
      </w:r>
    </w:p>
    <w:p>
      <w:pPr>
        <w:pStyle w:val="ListParagraph"/>
        <w:numPr>
          <w:ilvl w:val="0"/>
          <w:numId w:val="1"/>
        </w:numPr>
        <w:tabs>
          <w:tab w:pos="1800" w:val="left" w:leader="none"/>
        </w:tabs>
        <w:spacing w:line="240" w:lineRule="auto" w:before="210" w:after="0"/>
        <w:ind w:left="1800" w:right="0" w:hanging="720"/>
        <w:jc w:val="left"/>
        <w:rPr>
          <w:sz w:val="24"/>
        </w:rPr>
      </w:pPr>
      <w:r>
        <w:rPr>
          <w:sz w:val="24"/>
        </w:rPr>
        <w:t>Loss of or substantial changes in applicable </w:t>
      </w:r>
      <w:r>
        <w:rPr>
          <w:spacing w:val="-2"/>
          <w:sz w:val="24"/>
        </w:rPr>
        <w:t>reinsurance.</w:t>
      </w:r>
    </w:p>
    <w:p>
      <w:pPr>
        <w:pStyle w:val="BodyText"/>
        <w:spacing w:line="208" w:lineRule="auto" w:before="233"/>
        <w:ind w:left="360" w:right="358"/>
        <w:jc w:val="both"/>
      </w:pPr>
      <w:r>
        <w:rPr/>
        <w:t>The Insurer may refuse to renew this policy by giving the first named Insured at the address shown on the policy written notice that the Insurer will not renew this policy.</w:t>
      </w:r>
      <w:r>
        <w:rPr>
          <w:spacing w:val="40"/>
        </w:rPr>
        <w:t> </w:t>
      </w:r>
      <w:r>
        <w:rPr/>
        <w:t>Such notice will be given at least</w:t>
      </w:r>
      <w:r>
        <w:rPr>
          <w:spacing w:val="14"/>
        </w:rPr>
        <w:t> </w:t>
      </w:r>
      <w:r>
        <w:rPr/>
        <w:t>forty-five</w:t>
      </w:r>
      <w:r>
        <w:rPr>
          <w:spacing w:val="17"/>
        </w:rPr>
        <w:t> </w:t>
      </w:r>
      <w:r>
        <w:rPr/>
        <w:t>(45)</w:t>
      </w:r>
      <w:r>
        <w:rPr>
          <w:spacing w:val="17"/>
        </w:rPr>
        <w:t> </w:t>
      </w:r>
      <w:r>
        <w:rPr/>
        <w:t>days</w:t>
      </w:r>
      <w:r>
        <w:rPr>
          <w:spacing w:val="17"/>
        </w:rPr>
        <w:t> </w:t>
      </w:r>
      <w:r>
        <w:rPr/>
        <w:t>prior</w:t>
      </w:r>
      <w:r>
        <w:rPr>
          <w:spacing w:val="17"/>
        </w:rPr>
        <w:t> </w:t>
      </w:r>
      <w:r>
        <w:rPr/>
        <w:t>to</w:t>
      </w:r>
      <w:r>
        <w:rPr>
          <w:spacing w:val="17"/>
        </w:rPr>
        <w:t> </w:t>
      </w:r>
      <w:r>
        <w:rPr/>
        <w:t>the</w:t>
      </w:r>
      <w:r>
        <w:rPr>
          <w:spacing w:val="17"/>
        </w:rPr>
        <w:t> </w:t>
      </w:r>
      <w:r>
        <w:rPr/>
        <w:t>policy</w:t>
      </w:r>
      <w:r>
        <w:rPr>
          <w:spacing w:val="17"/>
        </w:rPr>
        <w:t> </w:t>
      </w:r>
      <w:r>
        <w:rPr/>
        <w:t>expiration</w:t>
      </w:r>
      <w:r>
        <w:rPr>
          <w:spacing w:val="17"/>
        </w:rPr>
        <w:t> </w:t>
      </w:r>
      <w:r>
        <w:rPr/>
        <w:t>date.</w:t>
      </w:r>
      <w:r>
        <w:rPr>
          <w:spacing w:val="62"/>
          <w:w w:val="150"/>
        </w:rPr>
        <w:t> </w:t>
      </w:r>
      <w:r>
        <w:rPr/>
        <w:t>If</w:t>
      </w:r>
      <w:r>
        <w:rPr>
          <w:spacing w:val="17"/>
        </w:rPr>
        <w:t> </w:t>
      </w:r>
      <w:r>
        <w:rPr/>
        <w:t>notice</w:t>
      </w:r>
      <w:r>
        <w:rPr>
          <w:spacing w:val="17"/>
        </w:rPr>
        <w:t> </w:t>
      </w:r>
      <w:r>
        <w:rPr/>
        <w:t>is</w:t>
      </w:r>
      <w:r>
        <w:rPr>
          <w:spacing w:val="17"/>
        </w:rPr>
        <w:t> </w:t>
      </w:r>
      <w:r>
        <w:rPr/>
        <w:t>given</w:t>
      </w:r>
      <w:r>
        <w:rPr>
          <w:spacing w:val="17"/>
        </w:rPr>
        <w:t> </w:t>
      </w:r>
      <w:r>
        <w:rPr/>
        <w:t>by</w:t>
      </w:r>
      <w:r>
        <w:rPr>
          <w:spacing w:val="17"/>
        </w:rPr>
        <w:t> </w:t>
      </w:r>
      <w:r>
        <w:rPr/>
        <w:t>mail,</w:t>
      </w:r>
      <w:r>
        <w:rPr>
          <w:spacing w:val="17"/>
        </w:rPr>
        <w:t> </w:t>
      </w:r>
      <w:r>
        <w:rPr/>
        <w:t>said</w:t>
      </w:r>
      <w:r>
        <w:rPr>
          <w:spacing w:val="17"/>
        </w:rPr>
        <w:t> </w:t>
      </w:r>
      <w:r>
        <w:rPr>
          <w:spacing w:val="-2"/>
        </w:rPr>
        <w:t>notice</w:t>
      </w:r>
    </w:p>
    <w:p>
      <w:pPr>
        <w:pStyle w:val="BodyText"/>
        <w:spacing w:after="0" w:line="208" w:lineRule="auto"/>
        <w:jc w:val="both"/>
        <w:sectPr>
          <w:footerReference w:type="default" r:id="rId5"/>
          <w:type w:val="continuous"/>
          <w:pgSz w:w="12240" w:h="15840"/>
          <w:pgMar w:header="0" w:footer="897" w:top="1340" w:bottom="1080" w:left="720" w:right="1080"/>
          <w:pgNumType w:start="1"/>
        </w:sectPr>
      </w:pPr>
    </w:p>
    <w:p>
      <w:pPr>
        <w:pStyle w:val="BodyText"/>
        <w:spacing w:line="208" w:lineRule="auto" w:before="97"/>
        <w:ind w:left="359" w:right="357"/>
        <w:jc w:val="both"/>
      </w:pPr>
      <w:r>
        <w:rPr/>
        <w:t>shall be deemed to have been given on the day said notice is mailed.</w:t>
      </w:r>
      <w:r>
        <w:rPr>
          <w:spacing w:val="40"/>
        </w:rPr>
        <w:t> </w:t>
      </w:r>
      <w:r>
        <w:rPr/>
        <w:t>If notice is mailed less than forty-five</w:t>
      </w:r>
      <w:r>
        <w:rPr>
          <w:spacing w:val="20"/>
        </w:rPr>
        <w:t> </w:t>
      </w:r>
      <w:r>
        <w:rPr/>
        <w:t>(45)</w:t>
      </w:r>
      <w:r>
        <w:rPr>
          <w:spacing w:val="20"/>
        </w:rPr>
        <w:t> </w:t>
      </w:r>
      <w:r>
        <w:rPr/>
        <w:t>days</w:t>
      </w:r>
      <w:r>
        <w:rPr>
          <w:spacing w:val="21"/>
        </w:rPr>
        <w:t> </w:t>
      </w:r>
      <w:r>
        <w:rPr/>
        <w:t>before</w:t>
      </w:r>
      <w:r>
        <w:rPr>
          <w:spacing w:val="20"/>
        </w:rPr>
        <w:t> </w:t>
      </w:r>
      <w:r>
        <w:rPr/>
        <w:t>expiration</w:t>
      </w:r>
      <w:r>
        <w:rPr>
          <w:spacing w:val="21"/>
        </w:rPr>
        <w:t> </w:t>
      </w:r>
      <w:r>
        <w:rPr/>
        <w:t>of</w:t>
      </w:r>
      <w:r>
        <w:rPr>
          <w:spacing w:val="19"/>
        </w:rPr>
        <w:t> </w:t>
      </w:r>
      <w:r>
        <w:rPr/>
        <w:t>the</w:t>
      </w:r>
      <w:r>
        <w:rPr>
          <w:spacing w:val="20"/>
        </w:rPr>
        <w:t> </w:t>
      </w:r>
      <w:r>
        <w:rPr/>
        <w:t>policy,</w:t>
      </w:r>
      <w:r>
        <w:rPr>
          <w:spacing w:val="20"/>
        </w:rPr>
        <w:t> </w:t>
      </w:r>
      <w:r>
        <w:rPr/>
        <w:t>coverage</w:t>
      </w:r>
      <w:r>
        <w:rPr>
          <w:spacing w:val="19"/>
        </w:rPr>
        <w:t> </w:t>
      </w:r>
      <w:r>
        <w:rPr/>
        <w:t>shall</w:t>
      </w:r>
      <w:r>
        <w:rPr>
          <w:spacing w:val="20"/>
        </w:rPr>
        <w:t> </w:t>
      </w:r>
      <w:r>
        <w:rPr/>
        <w:t>remain</w:t>
      </w:r>
      <w:r>
        <w:rPr>
          <w:spacing w:val="19"/>
        </w:rPr>
        <w:t> </w:t>
      </w:r>
      <w:r>
        <w:rPr/>
        <w:t>in</w:t>
      </w:r>
      <w:r>
        <w:rPr>
          <w:spacing w:val="20"/>
        </w:rPr>
        <w:t> </w:t>
      </w:r>
      <w:r>
        <w:rPr/>
        <w:t>effect</w:t>
      </w:r>
      <w:r>
        <w:rPr>
          <w:spacing w:val="19"/>
        </w:rPr>
        <w:t> </w:t>
      </w:r>
      <w:r>
        <w:rPr/>
        <w:t>until</w:t>
      </w:r>
      <w:r>
        <w:rPr>
          <w:spacing w:val="20"/>
        </w:rPr>
        <w:t> </w:t>
      </w:r>
      <w:r>
        <w:rPr/>
        <w:t>forty-</w:t>
      </w:r>
      <w:r>
        <w:rPr>
          <w:spacing w:val="-4"/>
        </w:rPr>
        <w:t>five</w:t>
      </w:r>
    </w:p>
    <w:p>
      <w:pPr>
        <w:pStyle w:val="BodyText"/>
        <w:spacing w:line="208" w:lineRule="auto"/>
        <w:ind w:left="359" w:right="353"/>
        <w:jc w:val="both"/>
      </w:pPr>
      <w:r>
        <w:rPr/>
        <w:t>(45)</w:t>
      </w:r>
      <w:r>
        <w:rPr>
          <w:spacing w:val="-1"/>
        </w:rPr>
        <w:t> </w:t>
      </w:r>
      <w:r>
        <w:rPr/>
        <w:t>days</w:t>
      </w:r>
      <w:r>
        <w:rPr>
          <w:spacing w:val="-1"/>
        </w:rPr>
        <w:t> </w:t>
      </w:r>
      <w:r>
        <w:rPr/>
        <w:t>after</w:t>
      </w:r>
      <w:r>
        <w:rPr>
          <w:spacing w:val="-1"/>
        </w:rPr>
        <w:t> </w:t>
      </w:r>
      <w:r>
        <w:rPr/>
        <w:t>notice</w:t>
      </w:r>
      <w:r>
        <w:rPr>
          <w:spacing w:val="-1"/>
        </w:rPr>
        <w:t> </w:t>
      </w:r>
      <w:r>
        <w:rPr/>
        <w:t>is</w:t>
      </w:r>
      <w:r>
        <w:rPr>
          <w:spacing w:val="-1"/>
        </w:rPr>
        <w:t> </w:t>
      </w:r>
      <w:r>
        <w:rPr/>
        <w:t>mailed.</w:t>
      </w:r>
      <w:r>
        <w:rPr>
          <w:spacing w:val="40"/>
        </w:rPr>
        <w:t> </w:t>
      </w:r>
      <w:r>
        <w:rPr/>
        <w:t>Earned</w:t>
      </w:r>
      <w:r>
        <w:rPr>
          <w:spacing w:val="-1"/>
        </w:rPr>
        <w:t> </w:t>
      </w:r>
      <w:r>
        <w:rPr/>
        <w:t>premium</w:t>
      </w:r>
      <w:r>
        <w:rPr>
          <w:spacing w:val="-6"/>
        </w:rPr>
        <w:t> </w:t>
      </w:r>
      <w:r>
        <w:rPr/>
        <w:t>for</w:t>
      </w:r>
      <w:r>
        <w:rPr>
          <w:spacing w:val="-2"/>
        </w:rPr>
        <w:t> </w:t>
      </w:r>
      <w:r>
        <w:rPr/>
        <w:t>any</w:t>
      </w:r>
      <w:r>
        <w:rPr>
          <w:spacing w:val="-2"/>
        </w:rPr>
        <w:t> </w:t>
      </w:r>
      <w:r>
        <w:rPr/>
        <w:t>period</w:t>
      </w:r>
      <w:r>
        <w:rPr>
          <w:spacing w:val="-2"/>
        </w:rPr>
        <w:t> </w:t>
      </w:r>
      <w:r>
        <w:rPr/>
        <w:t>of</w:t>
      </w:r>
      <w:r>
        <w:rPr>
          <w:spacing w:val="-2"/>
        </w:rPr>
        <w:t> </w:t>
      </w:r>
      <w:r>
        <w:rPr/>
        <w:t>coverage</w:t>
      </w:r>
      <w:r>
        <w:rPr>
          <w:spacing w:val="-2"/>
        </w:rPr>
        <w:t> </w:t>
      </w:r>
      <w:r>
        <w:rPr/>
        <w:t>that</w:t>
      </w:r>
      <w:r>
        <w:rPr>
          <w:spacing w:val="-2"/>
        </w:rPr>
        <w:t> </w:t>
      </w:r>
      <w:r>
        <w:rPr/>
        <w:t>extends</w:t>
      </w:r>
      <w:r>
        <w:rPr>
          <w:spacing w:val="-2"/>
        </w:rPr>
        <w:t> </w:t>
      </w:r>
      <w:r>
        <w:rPr/>
        <w:t>beyond</w:t>
      </w:r>
      <w:r>
        <w:rPr>
          <w:spacing w:val="-2"/>
        </w:rPr>
        <w:t> </w:t>
      </w:r>
      <w:r>
        <w:rPr/>
        <w:t>the expiration date shall be considered pro rata, based upon the previous year's rate.</w:t>
      </w:r>
      <w:r>
        <w:rPr>
          <w:spacing w:val="40"/>
        </w:rPr>
        <w:t> </w:t>
      </w:r>
      <w:r>
        <w:rPr/>
        <w:t>Transfer of the Insured between insurers within the same insurance group is not a refusal to renew.</w:t>
      </w:r>
      <w:r>
        <w:rPr>
          <w:spacing w:val="40"/>
        </w:rPr>
        <w:t> </w:t>
      </w:r>
      <w:r>
        <w:rPr/>
        <w:t>Additionally, an insurer shall give to the named insured at the mailing address shown on the policy, written notice of premium increase, change in deductible, reduction in limits or coverage at least forty-five (45) days prior to the expiration date of the policy.</w:t>
      </w:r>
      <w:r>
        <w:rPr>
          <w:spacing w:val="40"/>
        </w:rPr>
        <w:t> </w:t>
      </w:r>
      <w:r>
        <w:rPr/>
        <w:t>If the insurer fails to Provide such notice, the premium, deductible, limits and coverage provided to the named insured prior to the change shall remain in effect until notice is given or until the effective date of replacement coverage obtained by the named insured, whichever first occurs.</w:t>
      </w:r>
      <w:r>
        <w:rPr>
          <w:spacing w:val="40"/>
        </w:rPr>
        <w:t> </w:t>
      </w:r>
      <w:r>
        <w:rPr/>
        <w:t>If notice is given by mail, said notice shall be deemed to have been given on the day said notice is mailed.</w:t>
      </w:r>
      <w:r>
        <w:rPr>
          <w:spacing w:val="80"/>
        </w:rPr>
        <w:t> </w:t>
      </w:r>
      <w:r>
        <w:rPr/>
        <w:t>If the insured elects not to renew, any earned premium for</w:t>
      </w:r>
      <w:r>
        <w:rPr>
          <w:spacing w:val="40"/>
        </w:rPr>
        <w:t> </w:t>
      </w:r>
      <w:r>
        <w:rPr/>
        <w:t>the period of extension of the terminated policy shall be calculated pro rata at the lower of the</w:t>
      </w:r>
      <w:r>
        <w:rPr>
          <w:spacing w:val="40"/>
        </w:rPr>
        <w:t> </w:t>
      </w:r>
      <w:r>
        <w:rPr/>
        <w:t>current or previous year's rate.</w:t>
      </w:r>
      <w:r>
        <w:rPr>
          <w:spacing w:val="40"/>
        </w:rPr>
        <w:t> </w:t>
      </w:r>
      <w:r>
        <w:rPr/>
        <w:t>If the insured accepts the renewal, the premium increase, if any, and other changes shall be effective the day following the prior policy's expiration or anniversary date.</w:t>
      </w:r>
    </w:p>
    <w:p>
      <w:pPr>
        <w:pStyle w:val="BodyText"/>
        <w:spacing w:before="243"/>
        <w:ind w:left="359"/>
        <w:jc w:val="both"/>
      </w:pPr>
      <w:r>
        <w:rPr/>
        <w:t>This subsection shall not apply </w:t>
      </w:r>
      <w:r>
        <w:rPr>
          <w:spacing w:val="-5"/>
        </w:rPr>
        <w:t>to:</w:t>
      </w:r>
    </w:p>
    <w:p>
      <w:pPr>
        <w:pStyle w:val="BodyText"/>
        <w:spacing w:before="7"/>
      </w:pPr>
    </w:p>
    <w:p>
      <w:pPr>
        <w:pStyle w:val="ListParagraph"/>
        <w:numPr>
          <w:ilvl w:val="0"/>
          <w:numId w:val="2"/>
        </w:numPr>
        <w:tabs>
          <w:tab w:pos="1259" w:val="left" w:leader="none"/>
        </w:tabs>
        <w:spacing w:line="242" w:lineRule="auto" w:before="0" w:after="0"/>
        <w:ind w:left="1259" w:right="897" w:hanging="540"/>
        <w:jc w:val="both"/>
        <w:rPr>
          <w:sz w:val="24"/>
        </w:rPr>
      </w:pPr>
      <w:r>
        <w:rPr>
          <w:sz w:val="24"/>
        </w:rPr>
        <w:t>Changes in a rate or plan filed with or approved by the Insurance Commissioner or filed pursuant to the Property and Casualty Competitive Loss Cost Rating Act applicable to an entire class of business.</w:t>
      </w:r>
    </w:p>
    <w:p>
      <w:pPr>
        <w:pStyle w:val="BodyText"/>
        <w:spacing w:before="6"/>
      </w:pPr>
    </w:p>
    <w:p>
      <w:pPr>
        <w:pStyle w:val="ListParagraph"/>
        <w:numPr>
          <w:ilvl w:val="0"/>
          <w:numId w:val="2"/>
        </w:numPr>
        <w:tabs>
          <w:tab w:pos="1260" w:val="left" w:leader="none"/>
        </w:tabs>
        <w:spacing w:line="240" w:lineRule="auto" w:before="0" w:after="0"/>
        <w:ind w:left="1260" w:right="0" w:hanging="541"/>
        <w:jc w:val="left"/>
        <w:rPr>
          <w:sz w:val="24"/>
        </w:rPr>
      </w:pPr>
      <w:r>
        <w:rPr>
          <w:sz w:val="24"/>
        </w:rPr>
        <w:t>Changes based upon the altered nature of extent of the risk insured; </w:t>
      </w:r>
      <w:r>
        <w:rPr>
          <w:spacing w:val="-5"/>
          <w:sz w:val="24"/>
        </w:rPr>
        <w:t>or</w:t>
      </w:r>
    </w:p>
    <w:p>
      <w:pPr>
        <w:pStyle w:val="BodyText"/>
        <w:spacing w:before="7"/>
      </w:pPr>
    </w:p>
    <w:p>
      <w:pPr>
        <w:pStyle w:val="ListParagraph"/>
        <w:numPr>
          <w:ilvl w:val="0"/>
          <w:numId w:val="2"/>
        </w:numPr>
        <w:tabs>
          <w:tab w:pos="1259" w:val="left" w:leader="none"/>
        </w:tabs>
        <w:spacing w:line="242" w:lineRule="auto" w:before="0" w:after="0"/>
        <w:ind w:left="1259" w:right="897" w:hanging="540"/>
        <w:jc w:val="both"/>
        <w:rPr>
          <w:sz w:val="24"/>
        </w:rPr>
      </w:pPr>
      <w:r>
        <w:rPr>
          <w:sz w:val="24"/>
        </w:rPr>
        <w:t>Changes in policy forms filed with or approved by the Insurance Commissioner and applicable to an entire class of business.</w:t>
      </w:r>
    </w:p>
    <w:p>
      <w:pPr>
        <w:pStyle w:val="BodyText"/>
        <w:spacing w:line="208" w:lineRule="auto" w:before="238"/>
        <w:ind w:left="359" w:right="355"/>
        <w:jc w:val="both"/>
      </w:pPr>
      <w:r>
        <w:rPr/>
        <w:t>Notice of nonrenewal is not required if the Insurer or another insurer within the same insurance group</w:t>
      </w:r>
      <w:r>
        <w:rPr>
          <w:spacing w:val="-1"/>
        </w:rPr>
        <w:t> </w:t>
      </w:r>
      <w:r>
        <w:rPr/>
        <w:t>has</w:t>
      </w:r>
      <w:r>
        <w:rPr>
          <w:spacing w:val="-1"/>
        </w:rPr>
        <w:t> </w:t>
      </w:r>
      <w:r>
        <w:rPr/>
        <w:t>offered</w:t>
      </w:r>
      <w:r>
        <w:rPr>
          <w:spacing w:val="-1"/>
        </w:rPr>
        <w:t> </w:t>
      </w:r>
      <w:r>
        <w:rPr/>
        <w:t>to</w:t>
      </w:r>
      <w:r>
        <w:rPr>
          <w:spacing w:val="-1"/>
        </w:rPr>
        <w:t> </w:t>
      </w:r>
      <w:r>
        <w:rPr/>
        <w:t>issue</w:t>
      </w:r>
      <w:r>
        <w:rPr>
          <w:spacing w:val="-1"/>
        </w:rPr>
        <w:t> </w:t>
      </w:r>
      <w:r>
        <w:rPr/>
        <w:t>a</w:t>
      </w:r>
      <w:r>
        <w:rPr>
          <w:spacing w:val="-1"/>
        </w:rPr>
        <w:t> </w:t>
      </w:r>
      <w:r>
        <w:rPr/>
        <w:t>renewal</w:t>
      </w:r>
      <w:r>
        <w:rPr>
          <w:spacing w:val="-1"/>
        </w:rPr>
        <w:t> </w:t>
      </w:r>
      <w:r>
        <w:rPr/>
        <w:t>policy</w:t>
      </w:r>
      <w:r>
        <w:rPr>
          <w:spacing w:val="-1"/>
        </w:rPr>
        <w:t> </w:t>
      </w:r>
      <w:r>
        <w:rPr/>
        <w:t>or,</w:t>
      </w:r>
      <w:r>
        <w:rPr>
          <w:spacing w:val="-1"/>
        </w:rPr>
        <w:t> </w:t>
      </w:r>
      <w:r>
        <w:rPr/>
        <w:t>if</w:t>
      </w:r>
      <w:r>
        <w:rPr>
          <w:spacing w:val="-1"/>
        </w:rPr>
        <w:t> </w:t>
      </w:r>
      <w:r>
        <w:rPr/>
        <w:t>the</w:t>
      </w:r>
      <w:r>
        <w:rPr>
          <w:spacing w:val="-1"/>
        </w:rPr>
        <w:t> </w:t>
      </w:r>
      <w:r>
        <w:rPr/>
        <w:t>first</w:t>
      </w:r>
      <w:r>
        <w:rPr>
          <w:spacing w:val="-1"/>
        </w:rPr>
        <w:t> </w:t>
      </w:r>
      <w:r>
        <w:rPr/>
        <w:t>named</w:t>
      </w:r>
      <w:r>
        <w:rPr>
          <w:spacing w:val="-1"/>
        </w:rPr>
        <w:t> </w:t>
      </w:r>
      <w:r>
        <w:rPr/>
        <w:t>Insured</w:t>
      </w:r>
      <w:r>
        <w:rPr>
          <w:spacing w:val="-1"/>
        </w:rPr>
        <w:t> </w:t>
      </w:r>
      <w:r>
        <w:rPr/>
        <w:t>has</w:t>
      </w:r>
      <w:r>
        <w:rPr>
          <w:spacing w:val="-1"/>
        </w:rPr>
        <w:t> </w:t>
      </w:r>
      <w:r>
        <w:rPr/>
        <w:t>obtained</w:t>
      </w:r>
      <w:r>
        <w:rPr>
          <w:spacing w:val="-1"/>
        </w:rPr>
        <w:t> </w:t>
      </w:r>
      <w:r>
        <w:rPr/>
        <w:t>replacement</w:t>
      </w:r>
      <w:r>
        <w:rPr>
          <w:spacing w:val="-1"/>
        </w:rPr>
        <w:t> </w:t>
      </w:r>
      <w:r>
        <w:rPr/>
        <w:t>of coverage or has agreed in writing to obtain replacement coverage.</w:t>
      </w:r>
    </w:p>
    <w:p>
      <w:pPr>
        <w:pStyle w:val="BodyText"/>
        <w:spacing w:line="208" w:lineRule="auto" w:before="239"/>
        <w:ind w:left="359" w:right="357"/>
        <w:jc w:val="both"/>
      </w:pPr>
      <w:r>
        <w:rPr/>
        <w:t>If the Insurer provides the notice required by this endorsement and thereafter extends the policy for ninety (90) days or less, an additional notice of nonrenewal is not required with respect to the </w:t>
      </w:r>
      <w:r>
        <w:rPr>
          <w:spacing w:val="-2"/>
        </w:rPr>
        <w:t>extension.</w:t>
      </w:r>
    </w:p>
    <w:p>
      <w:pPr>
        <w:pStyle w:val="BodyText"/>
        <w:spacing w:line="208" w:lineRule="auto" w:before="240"/>
        <w:ind w:left="359" w:right="358"/>
        <w:jc w:val="both"/>
      </w:pPr>
      <w:r>
        <w:rPr/>
        <w:t>Proof of mailing of notice of cancellation, or of nonrenewal to the First Named Insured at the</w:t>
      </w:r>
      <w:r>
        <w:rPr>
          <w:spacing w:val="40"/>
        </w:rPr>
        <w:t> </w:t>
      </w:r>
      <w:r>
        <w:rPr/>
        <w:t>address shown in the policy shall be sufficient proof of notice.</w:t>
      </w:r>
    </w:p>
    <w:p>
      <w:pPr>
        <w:pStyle w:val="BodyText"/>
        <w:spacing w:before="211"/>
        <w:ind w:left="359"/>
        <w:jc w:val="both"/>
      </w:pPr>
      <w:r>
        <w:rPr/>
        <w:t>All</w:t>
      </w:r>
      <w:r>
        <w:rPr>
          <w:spacing w:val="-1"/>
        </w:rPr>
        <w:t> </w:t>
      </w:r>
      <w:r>
        <w:rPr/>
        <w:t>other terms,</w:t>
      </w:r>
      <w:r>
        <w:rPr>
          <w:spacing w:val="-1"/>
        </w:rPr>
        <w:t> </w:t>
      </w:r>
      <w:r>
        <w:rPr/>
        <w:t>conditions and</w:t>
      </w:r>
      <w:r>
        <w:rPr>
          <w:spacing w:val="-1"/>
        </w:rPr>
        <w:t> </w:t>
      </w:r>
      <w:r>
        <w:rPr/>
        <w:t>exclusions shall</w:t>
      </w:r>
      <w:r>
        <w:rPr>
          <w:spacing w:val="-1"/>
        </w:rPr>
        <w:t> </w:t>
      </w:r>
      <w:r>
        <w:rPr/>
        <w:t>remain the </w:t>
      </w:r>
      <w:r>
        <w:rPr>
          <w:spacing w:val="-2"/>
        </w:rPr>
        <w:t>same.</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r>
        <w:rPr>
          <w:sz w:val="20"/>
        </w:rPr>
        <mc:AlternateContent>
          <mc:Choice Requires="wps">
            <w:drawing>
              <wp:anchor distT="0" distB="0" distL="0" distR="0" allowOverlap="1" layoutInCell="1" locked="0" behindDoc="1" simplePos="0" relativeHeight="487587840">
                <wp:simplePos x="0" y="0"/>
                <wp:positionH relativeFrom="page">
                  <wp:posOffset>3429000</wp:posOffset>
                </wp:positionH>
                <wp:positionV relativeFrom="paragraph">
                  <wp:posOffset>161700</wp:posOffset>
                </wp:positionV>
                <wp:extent cx="3200400" cy="7620"/>
                <wp:effectExtent l="0" t="0" r="0" b="0"/>
                <wp:wrapTopAndBottom/>
                <wp:docPr id="3" name="Graphic 3"/>
                <wp:cNvGraphicFramePr>
                  <a:graphicFrameLocks/>
                </wp:cNvGraphicFramePr>
                <a:graphic>
                  <a:graphicData uri="http://schemas.microsoft.com/office/word/2010/wordprocessingShape">
                    <wps:wsp>
                      <wps:cNvPr id="3" name="Graphic 3"/>
                      <wps:cNvSpPr/>
                      <wps:spPr>
                        <a:xfrm>
                          <a:off x="0" y="0"/>
                          <a:ext cx="3200400" cy="7620"/>
                        </a:xfrm>
                        <a:custGeom>
                          <a:avLst/>
                          <a:gdLst/>
                          <a:ahLst/>
                          <a:cxnLst/>
                          <a:rect l="l" t="t" r="r" b="b"/>
                          <a:pathLst>
                            <a:path w="3200400" h="7620">
                              <a:moveTo>
                                <a:pt x="3200400" y="0"/>
                              </a:moveTo>
                              <a:lnTo>
                                <a:pt x="0" y="0"/>
                              </a:lnTo>
                              <a:lnTo>
                                <a:pt x="0" y="7619"/>
                              </a:lnTo>
                              <a:lnTo>
                                <a:pt x="3200400" y="7619"/>
                              </a:lnTo>
                              <a:lnTo>
                                <a:pt x="32004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270pt;margin-top:12.732315pt;width:252pt;height:.59999pt;mso-position-horizontal-relative:page;mso-position-vertical-relative:paragraph;z-index:-15728640;mso-wrap-distance-left:0;mso-wrap-distance-right:0" id="docshape3" filled="true" fillcolor="#000000" stroked="false">
                <v:fill type="solid"/>
                <w10:wrap type="topAndBottom"/>
              </v:rect>
            </w:pict>
          </mc:Fallback>
        </mc:AlternateContent>
      </w:r>
    </w:p>
    <w:p>
      <w:pPr>
        <w:pStyle w:val="BodyText"/>
        <w:ind w:left="5399"/>
      </w:pPr>
      <w:r>
        <w:rPr/>
        <w:t>AUTHORIZED</w:t>
      </w:r>
      <w:r>
        <w:rPr>
          <w:spacing w:val="-10"/>
        </w:rPr>
        <w:t> </w:t>
      </w:r>
      <w:r>
        <w:rPr>
          <w:spacing w:val="-2"/>
        </w:rPr>
        <w:t>REPRESENTATIVE</w:t>
      </w:r>
    </w:p>
    <w:sectPr>
      <w:pgSz w:w="12240" w:h="15840"/>
      <w:pgMar w:header="0" w:footer="897" w:top="1340" w:bottom="1080" w:left="720" w:right="10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548416">
              <wp:simplePos x="0" y="0"/>
              <wp:positionH relativeFrom="page">
                <wp:posOffset>673100</wp:posOffset>
              </wp:positionH>
              <wp:positionV relativeFrom="page">
                <wp:posOffset>9349062</wp:posOffset>
              </wp:positionV>
              <wp:extent cx="779780"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779780" cy="194310"/>
                      </a:xfrm>
                      <a:prstGeom prst="rect">
                        <a:avLst/>
                      </a:prstGeom>
                    </wps:spPr>
                    <wps:txbx>
                      <w:txbxContent>
                        <w:p>
                          <w:pPr>
                            <w:pStyle w:val="BodyText"/>
                            <w:spacing w:before="10"/>
                            <w:ind w:left="20"/>
                          </w:pPr>
                          <w:r>
                            <w:rPr>
                              <w:spacing w:val="-2"/>
                            </w:rPr>
                            <w:t>77579(6/15)</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3pt;margin-top:736.146667pt;width:61.4pt;height:15.3pt;mso-position-horizontal-relative:page;mso-position-vertical-relative:page;z-index:-15768064" type="#_x0000_t202" id="docshape1" filled="false" stroked="false">
              <v:textbox inset="0,0,0,0">
                <w:txbxContent>
                  <w:p>
                    <w:pPr>
                      <w:pStyle w:val="BodyText"/>
                      <w:spacing w:before="10"/>
                      <w:ind w:left="20"/>
                    </w:pPr>
                    <w:r>
                      <w:rPr>
                        <w:spacing w:val="-2"/>
                      </w:rPr>
                      <w:t>77579(6/15)</w:t>
                    </w:r>
                  </w:p>
                </w:txbxContent>
              </v:textbox>
              <w10:wrap type="none"/>
            </v:shape>
          </w:pict>
        </mc:Fallback>
      </mc:AlternateContent>
    </w:r>
    <w:r>
      <w:rPr>
        <w:sz w:val="20"/>
      </w:rPr>
      <mc:AlternateContent>
        <mc:Choice Requires="wps">
          <w:drawing>
            <wp:anchor distT="0" distB="0" distL="0" distR="0" allowOverlap="1" layoutInCell="1" locked="0" behindDoc="1" simplePos="0" relativeHeight="487548928">
              <wp:simplePos x="0" y="0"/>
              <wp:positionH relativeFrom="page">
                <wp:posOffset>2958497</wp:posOffset>
              </wp:positionH>
              <wp:positionV relativeFrom="page">
                <wp:posOffset>9349062</wp:posOffset>
              </wp:positionV>
              <wp:extent cx="715645" cy="19431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715645" cy="194310"/>
                      </a:xfrm>
                      <a:prstGeom prst="rect">
                        <a:avLst/>
                      </a:prstGeom>
                    </wps:spPr>
                    <wps:txbx>
                      <w:txbxContent>
                        <w:p>
                          <w:pPr>
                            <w:pStyle w:val="BodyText"/>
                            <w:spacing w:before="10"/>
                            <w:ind w:left="20"/>
                          </w:pPr>
                          <w:r>
                            <w:rPr/>
                            <w:t>Page </w:t>
                          </w:r>
                          <w:r>
                            <w:rPr/>
                            <w:fldChar w:fldCharType="begin"/>
                          </w:r>
                          <w:r>
                            <w:rPr/>
                            <w:instrText> PAGE </w:instrText>
                          </w:r>
                          <w:r>
                            <w:rPr/>
                            <w:fldChar w:fldCharType="separate"/>
                          </w:r>
                          <w:r>
                            <w:rPr/>
                            <w:t>1</w:t>
                          </w:r>
                          <w:r>
                            <w:rPr/>
                            <w:fldChar w:fldCharType="end"/>
                          </w:r>
                          <w:r>
                            <w:rPr/>
                            <w:t> of </w:t>
                          </w:r>
                          <w:r>
                            <w:rPr>
                              <w:spacing w:val="-10"/>
                            </w:rPr>
                            <w:fldChar w:fldCharType="begin"/>
                          </w:r>
                          <w:r>
                            <w:rPr>
                              <w:spacing w:val="-10"/>
                            </w:rPr>
                            <w:instrText> NUMPAGES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 style="position:absolute;margin-left:232.952576pt;margin-top:736.146667pt;width:56.35pt;height:15.3pt;mso-position-horizontal-relative:page;mso-position-vertical-relative:page;z-index:-15767552" type="#_x0000_t202" id="docshape2" filled="false" stroked="false">
              <v:textbox inset="0,0,0,0">
                <w:txbxContent>
                  <w:p>
                    <w:pPr>
                      <w:pStyle w:val="BodyText"/>
                      <w:spacing w:before="10"/>
                      <w:ind w:left="20"/>
                    </w:pPr>
                    <w:r>
                      <w:rPr/>
                      <w:t>Page </w:t>
                    </w:r>
                    <w:r>
                      <w:rPr/>
                      <w:fldChar w:fldCharType="begin"/>
                    </w:r>
                    <w:r>
                      <w:rPr/>
                      <w:instrText> PAGE </w:instrText>
                    </w:r>
                    <w:r>
                      <w:rPr/>
                      <w:fldChar w:fldCharType="separate"/>
                    </w:r>
                    <w:r>
                      <w:rPr/>
                      <w:t>1</w:t>
                    </w:r>
                    <w:r>
                      <w:rPr/>
                      <w:fldChar w:fldCharType="end"/>
                    </w:r>
                    <w:r>
                      <w:rPr/>
                      <w:t> of </w:t>
                    </w:r>
                    <w:r>
                      <w:rPr>
                        <w:spacing w:val="-10"/>
                      </w:rPr>
                      <w:fldChar w:fldCharType="begin"/>
                    </w:r>
                    <w:r>
                      <w:rPr>
                        <w:spacing w:val="-10"/>
                      </w:rPr>
                      <w:instrText> NUMPAGES </w:instrText>
                    </w:r>
                    <w:r>
                      <w:rPr>
                        <w:spacing w:val="-10"/>
                      </w:rPr>
                      <w:fldChar w:fldCharType="separate"/>
                    </w:r>
                    <w:r>
                      <w:rPr>
                        <w:spacing w:val="-10"/>
                      </w:rPr>
                      <w:t>2</w:t>
                    </w:r>
                    <w:r>
                      <w:rPr>
                        <w:spacing w:val="-10"/>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1260" w:hanging="541"/>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1">
      <w:start w:val="0"/>
      <w:numFmt w:val="bullet"/>
      <w:lvlText w:val="•"/>
      <w:lvlJc w:val="left"/>
      <w:pPr>
        <w:ind w:left="2178" w:hanging="541"/>
      </w:pPr>
      <w:rPr>
        <w:rFonts w:hint="default"/>
        <w:lang w:val="en-US" w:eastAsia="en-US" w:bidi="ar-SA"/>
      </w:rPr>
    </w:lvl>
    <w:lvl w:ilvl="2">
      <w:start w:val="0"/>
      <w:numFmt w:val="bullet"/>
      <w:lvlText w:val="•"/>
      <w:lvlJc w:val="left"/>
      <w:pPr>
        <w:ind w:left="3096" w:hanging="541"/>
      </w:pPr>
      <w:rPr>
        <w:rFonts w:hint="default"/>
        <w:lang w:val="en-US" w:eastAsia="en-US" w:bidi="ar-SA"/>
      </w:rPr>
    </w:lvl>
    <w:lvl w:ilvl="3">
      <w:start w:val="0"/>
      <w:numFmt w:val="bullet"/>
      <w:lvlText w:val="•"/>
      <w:lvlJc w:val="left"/>
      <w:pPr>
        <w:ind w:left="4014" w:hanging="541"/>
      </w:pPr>
      <w:rPr>
        <w:rFonts w:hint="default"/>
        <w:lang w:val="en-US" w:eastAsia="en-US" w:bidi="ar-SA"/>
      </w:rPr>
    </w:lvl>
    <w:lvl w:ilvl="4">
      <w:start w:val="0"/>
      <w:numFmt w:val="bullet"/>
      <w:lvlText w:val="•"/>
      <w:lvlJc w:val="left"/>
      <w:pPr>
        <w:ind w:left="4932" w:hanging="541"/>
      </w:pPr>
      <w:rPr>
        <w:rFonts w:hint="default"/>
        <w:lang w:val="en-US" w:eastAsia="en-US" w:bidi="ar-SA"/>
      </w:rPr>
    </w:lvl>
    <w:lvl w:ilvl="5">
      <w:start w:val="0"/>
      <w:numFmt w:val="bullet"/>
      <w:lvlText w:val="•"/>
      <w:lvlJc w:val="left"/>
      <w:pPr>
        <w:ind w:left="5850" w:hanging="541"/>
      </w:pPr>
      <w:rPr>
        <w:rFonts w:hint="default"/>
        <w:lang w:val="en-US" w:eastAsia="en-US" w:bidi="ar-SA"/>
      </w:rPr>
    </w:lvl>
    <w:lvl w:ilvl="6">
      <w:start w:val="0"/>
      <w:numFmt w:val="bullet"/>
      <w:lvlText w:val="•"/>
      <w:lvlJc w:val="left"/>
      <w:pPr>
        <w:ind w:left="6768" w:hanging="541"/>
      </w:pPr>
      <w:rPr>
        <w:rFonts w:hint="default"/>
        <w:lang w:val="en-US" w:eastAsia="en-US" w:bidi="ar-SA"/>
      </w:rPr>
    </w:lvl>
    <w:lvl w:ilvl="7">
      <w:start w:val="0"/>
      <w:numFmt w:val="bullet"/>
      <w:lvlText w:val="•"/>
      <w:lvlJc w:val="left"/>
      <w:pPr>
        <w:ind w:left="7686" w:hanging="541"/>
      </w:pPr>
      <w:rPr>
        <w:rFonts w:hint="default"/>
        <w:lang w:val="en-US" w:eastAsia="en-US" w:bidi="ar-SA"/>
      </w:rPr>
    </w:lvl>
    <w:lvl w:ilvl="8">
      <w:start w:val="0"/>
      <w:numFmt w:val="bullet"/>
      <w:lvlText w:val="•"/>
      <w:lvlJc w:val="left"/>
      <w:pPr>
        <w:ind w:left="8604" w:hanging="541"/>
      </w:pPr>
      <w:rPr>
        <w:rFonts w:hint="default"/>
        <w:lang w:val="en-US" w:eastAsia="en-US" w:bidi="ar-SA"/>
      </w:rPr>
    </w:lvl>
  </w:abstractNum>
  <w:abstractNum w:abstractNumId="0">
    <w:multiLevelType w:val="hybridMultilevel"/>
    <w:lvl w:ilvl="0">
      <w:start w:val="1"/>
      <w:numFmt w:val="decimal"/>
      <w:lvlText w:val="%1."/>
      <w:lvlJc w:val="left"/>
      <w:pPr>
        <w:ind w:left="1800" w:hanging="721"/>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1">
      <w:start w:val="0"/>
      <w:numFmt w:val="bullet"/>
      <w:lvlText w:val="•"/>
      <w:lvlJc w:val="left"/>
      <w:pPr>
        <w:ind w:left="2664" w:hanging="721"/>
      </w:pPr>
      <w:rPr>
        <w:rFonts w:hint="default"/>
        <w:lang w:val="en-US" w:eastAsia="en-US" w:bidi="ar-SA"/>
      </w:rPr>
    </w:lvl>
    <w:lvl w:ilvl="2">
      <w:start w:val="0"/>
      <w:numFmt w:val="bullet"/>
      <w:lvlText w:val="•"/>
      <w:lvlJc w:val="left"/>
      <w:pPr>
        <w:ind w:left="3528" w:hanging="721"/>
      </w:pPr>
      <w:rPr>
        <w:rFonts w:hint="default"/>
        <w:lang w:val="en-US" w:eastAsia="en-US" w:bidi="ar-SA"/>
      </w:rPr>
    </w:lvl>
    <w:lvl w:ilvl="3">
      <w:start w:val="0"/>
      <w:numFmt w:val="bullet"/>
      <w:lvlText w:val="•"/>
      <w:lvlJc w:val="left"/>
      <w:pPr>
        <w:ind w:left="4392" w:hanging="721"/>
      </w:pPr>
      <w:rPr>
        <w:rFonts w:hint="default"/>
        <w:lang w:val="en-US" w:eastAsia="en-US" w:bidi="ar-SA"/>
      </w:rPr>
    </w:lvl>
    <w:lvl w:ilvl="4">
      <w:start w:val="0"/>
      <w:numFmt w:val="bullet"/>
      <w:lvlText w:val="•"/>
      <w:lvlJc w:val="left"/>
      <w:pPr>
        <w:ind w:left="5256" w:hanging="721"/>
      </w:pPr>
      <w:rPr>
        <w:rFonts w:hint="default"/>
        <w:lang w:val="en-US" w:eastAsia="en-US" w:bidi="ar-SA"/>
      </w:rPr>
    </w:lvl>
    <w:lvl w:ilvl="5">
      <w:start w:val="0"/>
      <w:numFmt w:val="bullet"/>
      <w:lvlText w:val="•"/>
      <w:lvlJc w:val="left"/>
      <w:pPr>
        <w:ind w:left="6120" w:hanging="721"/>
      </w:pPr>
      <w:rPr>
        <w:rFonts w:hint="default"/>
        <w:lang w:val="en-US" w:eastAsia="en-US" w:bidi="ar-SA"/>
      </w:rPr>
    </w:lvl>
    <w:lvl w:ilvl="6">
      <w:start w:val="0"/>
      <w:numFmt w:val="bullet"/>
      <w:lvlText w:val="•"/>
      <w:lvlJc w:val="left"/>
      <w:pPr>
        <w:ind w:left="6984" w:hanging="721"/>
      </w:pPr>
      <w:rPr>
        <w:rFonts w:hint="default"/>
        <w:lang w:val="en-US" w:eastAsia="en-US" w:bidi="ar-SA"/>
      </w:rPr>
    </w:lvl>
    <w:lvl w:ilvl="7">
      <w:start w:val="0"/>
      <w:numFmt w:val="bullet"/>
      <w:lvlText w:val="•"/>
      <w:lvlJc w:val="left"/>
      <w:pPr>
        <w:ind w:left="7848" w:hanging="721"/>
      </w:pPr>
      <w:rPr>
        <w:rFonts w:hint="default"/>
        <w:lang w:val="en-US" w:eastAsia="en-US" w:bidi="ar-SA"/>
      </w:rPr>
    </w:lvl>
    <w:lvl w:ilvl="8">
      <w:start w:val="0"/>
      <w:numFmt w:val="bullet"/>
      <w:lvlText w:val="•"/>
      <w:lvlJc w:val="left"/>
      <w:pPr>
        <w:ind w:left="8712" w:hanging="72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24"/>
      <w:szCs w:val="24"/>
      <w:lang w:val="en-US" w:eastAsia="en-US" w:bidi="ar-SA"/>
    </w:rPr>
  </w:style>
  <w:style w:styleId="ListParagraph" w:type="paragraph">
    <w:name w:val="List Paragraph"/>
    <w:basedOn w:val="Normal"/>
    <w:uiPriority w:val="1"/>
    <w:qFormat/>
    <w:pPr>
      <w:spacing w:before="240"/>
      <w:ind w:left="1799" w:hanging="720"/>
      <w:jc w:val="both"/>
    </w:pPr>
    <w:rPr>
      <w:rFonts w:ascii="Times New Roman" w:hAnsi="Times New Roman" w:eastAsia="Times New Roman" w:cs="Times New Roman"/>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Acarabal</dc:creator>
  <dc:title>Microsoft Word - 77579 _6-15_ OK Amendatory Endorsement _2_ _2_.doc</dc:title>
  <dcterms:created xsi:type="dcterms:W3CDTF">2025-12-22T16:32:23Z</dcterms:created>
  <dcterms:modified xsi:type="dcterms:W3CDTF">2025-12-22T16:32:23Z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2015-06-25T00:00:00Z</vt:filetime>
  </property>
  <property fmtid="{D5CDD505-2E9C-101B-9397-08002B2CF9AE}" pid="3" name="Creator">
    <vt:lpwstr>PScript5.dll Version 5.2.2</vt:lpwstr>
  </property>
  <property fmtid="{D5CDD505-2E9C-101B-9397-08002B2CF9AE}" pid="4" name="LastSaved">
    <vt:filetime>2025-12-22T00:00:00Z</vt:filetime>
  </property>
  <property fmtid="{D5CDD505-2E9C-101B-9397-08002B2CF9AE}" pid="5" name="Producer">
    <vt:lpwstr>Acrobat Distiller 8.1.0 (Windows)</vt:lpwstr>
  </property>
</Properties>
</file>